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95" w:rsidRPr="00296395" w:rsidRDefault="00296395" w:rsidP="00296395">
      <w:pPr>
        <w:shd w:val="clear" w:color="auto" w:fill="FFFFFF"/>
        <w:spacing w:after="0" w:line="240" w:lineRule="auto"/>
        <w:outlineLvl w:val="0"/>
        <w:rPr>
          <w:rFonts w:ascii="Arial" w:eastAsia="Times New Roman" w:hAnsi="Arial" w:cs="Arial"/>
          <w:color w:val="000000"/>
          <w:kern w:val="36"/>
          <w:sz w:val="30"/>
          <w:szCs w:val="30"/>
          <w:lang w:eastAsia="ru-RU"/>
        </w:rPr>
      </w:pPr>
      <w:r w:rsidRPr="00296395">
        <w:rPr>
          <w:rFonts w:ascii="Arial" w:eastAsia="Times New Roman" w:hAnsi="Arial" w:cs="Arial"/>
          <w:color w:val="000000"/>
          <w:kern w:val="36"/>
          <w:sz w:val="30"/>
          <w:szCs w:val="30"/>
          <w:lang w:eastAsia="ru-RU"/>
        </w:rPr>
        <w:t>программа государственных гарантий бесплатного оказания гражданам медицинской помощи в Саратовской области на 2020 год</w:t>
      </w:r>
    </w:p>
    <w:p w:rsidR="00296395" w:rsidRPr="00296395" w:rsidRDefault="00296395" w:rsidP="00296395">
      <w:pPr>
        <w:shd w:val="clear" w:color="auto" w:fill="FFFFFF"/>
        <w:spacing w:before="150" w:after="150" w:line="408" w:lineRule="atLeast"/>
        <w:jc w:val="righ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Утверждена</w:t>
      </w:r>
    </w:p>
    <w:p w:rsidR="00296395" w:rsidRPr="00296395" w:rsidRDefault="00296395" w:rsidP="00296395">
      <w:pPr>
        <w:shd w:val="clear" w:color="auto" w:fill="FFFFFF"/>
        <w:spacing w:before="150" w:after="150" w:line="408" w:lineRule="atLeast"/>
        <w:jc w:val="righ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постановлением</w:t>
      </w:r>
    </w:p>
    <w:p w:rsidR="00296395" w:rsidRPr="00296395" w:rsidRDefault="00296395" w:rsidP="00296395">
      <w:pPr>
        <w:shd w:val="clear" w:color="auto" w:fill="FFFFFF"/>
        <w:spacing w:before="150" w:after="150" w:line="408" w:lineRule="atLeast"/>
        <w:jc w:val="righ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Правительства Саратовской области</w:t>
      </w:r>
    </w:p>
    <w:p w:rsidR="00296395" w:rsidRPr="00296395" w:rsidRDefault="00296395" w:rsidP="00296395">
      <w:pPr>
        <w:shd w:val="clear" w:color="auto" w:fill="FFFFFF"/>
        <w:spacing w:before="150" w:after="150" w:line="408" w:lineRule="atLeast"/>
        <w:jc w:val="righ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от 25 декабря 2019 г. N 919-П</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ТЕРРИТОРИАЛЬНАЯ ПРОГРАММА</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ГОСУДАРСТВЕННЫХ ГАРАНТИЙ БЕСПЛАТНОГО ОКАЗАНИЯ ГРАЖДАНАМ</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В САРАТОВСКОЙ ОБЛАСТИ НА 2020 ГОД</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И НА ПЛАНОВЫЙ ПЕРИОД 2021 И 2022 ГОДОВ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I. Общие положения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 Территориальная программа государственных гарантий бесплатного оказания гражданам медицинской помощи в Саратовской области на 2020 год и на плановый период 2021 и 2022 годов (далее - Программа) разработана 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письмом Министерства здравоохранения Российской Федерации от 21 декабря 2018 года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2. Настоящая Программа включает территориальную программу обязательного медицинского страхования Саратовской области (далее - территориальная программа ОМС) и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а также предусматривает критерии доступности и качества медицинской помощи, предоставляемой гражданам на территории Саратовской области бесплатно.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Программа формируется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Саратовской области,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целях обеспечения преемственности, доступности и качества медицинской помощи и эффективной реализации Программы на территории области в соответствии с приказом министерства здравоохранения области формируется и развивается трехуровневая система организации медицинской помощи гражданам.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 Структура Программы включает: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3.1. Перечень заболеваний, виды медицинской помощи, предоставляемой гражданам бесплатно за счет бюджетных ассигнований областного бюджета и средств бюджета Территориального фонда обязательного медицинского страхования Саратовской области (далее - ТФОМС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3.2. Целевые значения критериев доступности и качества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3.3. Способы оплаты медицинской помощи, оказываемой застрахованным лицам по обязательному медицинскому страхованию.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3.4. Стоимость Программы по источникам финансового обеспечения и условиям ее оказания на 2020 год и на плановый период 2021 и 2022 годов (</w:t>
      </w:r>
      <w:hyperlink r:id="rId5" w:anchor="Par885" w:tooltip="Приложение N 1" w:history="1">
        <w:r w:rsidRPr="00296395">
          <w:rPr>
            <w:rFonts w:ascii="Arial" w:eastAsia="Times New Roman" w:hAnsi="Arial" w:cs="Arial"/>
            <w:color w:val="0070A8"/>
            <w:sz w:val="24"/>
            <w:szCs w:val="24"/>
            <w:lang w:eastAsia="ru-RU"/>
          </w:rPr>
          <w:t>приложение N 1</w:t>
        </w:r>
      </w:hyperlink>
      <w:r w:rsidRPr="00296395">
        <w:rPr>
          <w:rFonts w:ascii="Arial" w:eastAsia="Times New Roman" w:hAnsi="Arial" w:cs="Arial"/>
          <w:color w:val="000000"/>
          <w:sz w:val="24"/>
          <w:szCs w:val="24"/>
          <w:lang w:eastAsia="ru-RU"/>
        </w:rPr>
        <w:t>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3.5. Объемы медицинской помощи, оказываемой в рамках Программы, на 2020 год и на плановый период 2021 и 2022 годов (</w:t>
      </w:r>
      <w:hyperlink r:id="rId6" w:anchor="Par3912" w:tooltip="Приложение N 2" w:history="1">
        <w:r w:rsidRPr="00296395">
          <w:rPr>
            <w:rFonts w:ascii="Arial" w:eastAsia="Times New Roman" w:hAnsi="Arial" w:cs="Arial"/>
            <w:color w:val="0070A8"/>
            <w:sz w:val="24"/>
            <w:szCs w:val="24"/>
            <w:lang w:eastAsia="ru-RU"/>
          </w:rPr>
          <w:t>приложение N 2</w:t>
        </w:r>
      </w:hyperlink>
      <w:r w:rsidRPr="00296395">
        <w:rPr>
          <w:rFonts w:ascii="Arial" w:eastAsia="Times New Roman" w:hAnsi="Arial" w:cs="Arial"/>
          <w:color w:val="000000"/>
          <w:sz w:val="24"/>
          <w:szCs w:val="24"/>
          <w:lang w:eastAsia="ru-RU"/>
        </w:rPr>
        <w:t>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3.6. </w:t>
      </w:r>
      <w:hyperlink r:id="rId7" w:anchor="Par4438" w:tooltip="ПЕРЕЧЕНЬ" w:history="1">
        <w:r w:rsidRPr="00296395">
          <w:rPr>
            <w:rFonts w:ascii="Arial" w:eastAsia="Times New Roman" w:hAnsi="Arial" w:cs="Arial"/>
            <w:color w:val="0070A8"/>
            <w:sz w:val="24"/>
            <w:szCs w:val="24"/>
            <w:lang w:eastAsia="ru-RU"/>
          </w:rPr>
          <w:t>Перечень</w:t>
        </w:r>
      </w:hyperlink>
      <w:r w:rsidRPr="00296395">
        <w:rPr>
          <w:rFonts w:ascii="Arial" w:eastAsia="Times New Roman" w:hAnsi="Arial" w:cs="Arial"/>
          <w:color w:val="000000"/>
          <w:sz w:val="24"/>
          <w:szCs w:val="24"/>
          <w:lang w:eastAsia="ru-RU"/>
        </w:rPr>
        <w:t>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N 3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3.7. </w:t>
      </w:r>
      <w:hyperlink r:id="rId8" w:anchor="Par5182" w:tooltip="ПЕРЕЧЕНЬ" w:history="1">
        <w:r w:rsidRPr="00296395">
          <w:rPr>
            <w:rFonts w:ascii="Arial" w:eastAsia="Times New Roman" w:hAnsi="Arial" w:cs="Arial"/>
            <w:color w:val="0070A8"/>
            <w:sz w:val="24"/>
            <w:szCs w:val="24"/>
            <w:lang w:eastAsia="ru-RU"/>
          </w:rPr>
          <w:t>Перечень</w:t>
        </w:r>
      </w:hyperlink>
      <w:r w:rsidRPr="00296395">
        <w:rPr>
          <w:rFonts w:ascii="Arial" w:eastAsia="Times New Roman" w:hAnsi="Arial" w:cs="Arial"/>
          <w:color w:val="000000"/>
          <w:sz w:val="24"/>
          <w:szCs w:val="24"/>
          <w:lang w:eastAsia="ru-RU"/>
        </w:rPr>
        <w:t>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4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3.8. </w:t>
      </w:r>
      <w:hyperlink r:id="rId9" w:anchor="Par10911" w:tooltip="ПЕРЕЧЕНЬ" w:history="1">
        <w:r w:rsidRPr="00296395">
          <w:rPr>
            <w:rFonts w:ascii="Arial" w:eastAsia="Times New Roman" w:hAnsi="Arial" w:cs="Arial"/>
            <w:color w:val="0070A8"/>
            <w:sz w:val="24"/>
            <w:szCs w:val="24"/>
            <w:lang w:eastAsia="ru-RU"/>
          </w:rPr>
          <w:t>Перечень</w:t>
        </w:r>
      </w:hyperlink>
      <w:r w:rsidRPr="00296395">
        <w:rPr>
          <w:rFonts w:ascii="Arial" w:eastAsia="Times New Roman" w:hAnsi="Arial" w:cs="Arial"/>
          <w:color w:val="000000"/>
          <w:sz w:val="24"/>
          <w:szCs w:val="24"/>
          <w:lang w:eastAsia="ru-RU"/>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5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3.9. </w:t>
      </w:r>
      <w:hyperlink r:id="rId10" w:anchor="Par14364" w:tooltip="УСЛОВИЯ И ПОРЯДОК" w:history="1">
        <w:r w:rsidRPr="00296395">
          <w:rPr>
            <w:rFonts w:ascii="Arial" w:eastAsia="Times New Roman" w:hAnsi="Arial" w:cs="Arial"/>
            <w:color w:val="0070A8"/>
            <w:sz w:val="24"/>
            <w:szCs w:val="24"/>
            <w:lang w:eastAsia="ru-RU"/>
          </w:rPr>
          <w:t>Условия и порядок</w:t>
        </w:r>
      </w:hyperlink>
      <w:r w:rsidRPr="00296395">
        <w:rPr>
          <w:rFonts w:ascii="Arial" w:eastAsia="Times New Roman" w:hAnsi="Arial" w:cs="Arial"/>
          <w:color w:val="000000"/>
          <w:sz w:val="24"/>
          <w:szCs w:val="24"/>
          <w:lang w:eastAsia="ru-RU"/>
        </w:rPr>
        <w:t> предоставления бесплатной медицинской помощи медицинскими организациями Саратовской области при реализации Программы (приложение N 6 к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4. Реализация Программы, включая территориальную программу ОМС, осуществляется посредством выполнения медицинскими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распределяются между медицинскими организациями и корректируются решением комиссии по разработке территориальной программы обязательного медицинского страхования Саратовской области в соответствии с действующим законодательством.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5. Финансовое обеспечение Программы осуществляется за счет бюджетных ассигнований областного бюджета и средств бюджета ТФОМС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6. Контроль за качеством, объемами и условиями предоставления медицинской помощи в рамках настоящей Программы, в том числе территориальной </w:t>
      </w:r>
      <w:r w:rsidRPr="00296395">
        <w:rPr>
          <w:rFonts w:ascii="Arial" w:eastAsia="Times New Roman" w:hAnsi="Arial" w:cs="Arial"/>
          <w:color w:val="000000"/>
          <w:sz w:val="24"/>
          <w:szCs w:val="24"/>
          <w:lang w:eastAsia="ru-RU"/>
        </w:rPr>
        <w:lastRenderedPageBreak/>
        <w:t>программы ОМС, осуществляют в пределах своей компетенции министерство здравоохранения области, ТФОМС области (по согласованию) и страховые медицинские организации (по согласованию).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II. Перечень видов, форм и условий предоставления</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оказание которой</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осуществляется бесплатно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7. В рамках Программы (за исключением медицинской помощи, оказываемой в рамках клинической апробации) бесплатно предоставляются: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специализированная, в том числе высокотехнологичная, медицинская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скорая, в том числе скорая специализированная, медицинская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соответствии с законодательством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Перечень видов высокотехнологичной медицинской помощи представлен в приложении к Программе государственных гарантий бесплатного оказания гражданам медицинской помощи на 2020 год и на плановый период 2021 и 2022 годов.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Скорая, в том числе скорая специализированная, медицинская помощь оказывается гражданам медицинскими организациями государственной и муниципальной систем здравоохранения бесплатно.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w:t>
      </w:r>
      <w:r w:rsidRPr="00296395">
        <w:rPr>
          <w:rFonts w:ascii="Arial" w:eastAsia="Times New Roman" w:hAnsi="Arial" w:cs="Arial"/>
          <w:color w:val="000000"/>
          <w:sz w:val="24"/>
          <w:szCs w:val="24"/>
          <w:lang w:eastAsia="ru-RU"/>
        </w:rPr>
        <w:lastRenderedPageBreak/>
        <w:t>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Мероприятия по развитию паллиативной медицинской помощи осуществляются в рамках государственной программы Саратовской области "Развитие здравоохранения".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целях оказания гражданам, находящимся в стационарных организациях социального обслуживания, медицинской помощи министерством здравоохранения области организуется взаимодействие стационарных организаций социального обслуживания с близлежащими медицинскими организациями.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w:t>
      </w:r>
      <w:r w:rsidRPr="00296395">
        <w:rPr>
          <w:rFonts w:ascii="Arial" w:eastAsia="Times New Roman" w:hAnsi="Arial" w:cs="Arial"/>
          <w:color w:val="000000"/>
          <w:sz w:val="24"/>
          <w:szCs w:val="24"/>
          <w:lang w:eastAsia="ru-RU"/>
        </w:rPr>
        <w:lastRenderedPageBreak/>
        <w:t>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Медицинская помощь оказывается в следующих формах: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w:t>
      </w:r>
      <w:r w:rsidRPr="00296395">
        <w:rPr>
          <w:rFonts w:ascii="Arial" w:eastAsia="Times New Roman" w:hAnsi="Arial" w:cs="Arial"/>
          <w:color w:val="000000"/>
          <w:sz w:val="24"/>
          <w:szCs w:val="24"/>
          <w:lang w:eastAsia="ru-RU"/>
        </w:rPr>
        <w:lastRenderedPageBreak/>
        <w:t>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III. Перечень заболеваний и состояний, оказание медицинской</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помощи при которых осуществляется бесплатно, и категории</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граждан, оказание медицинской помощи которым</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осуществляется бесплатно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8. Гражданин имеет право на бесплатное получение медицинской помощи по видам, формам и условиям ее оказания в соответствии с </w:t>
      </w:r>
      <w:hyperlink r:id="rId11" w:anchor="Par54" w:tooltip="II. Перечень видов, форм и условий предоставления" w:history="1">
        <w:r w:rsidRPr="00296395">
          <w:rPr>
            <w:rFonts w:ascii="Arial" w:eastAsia="Times New Roman" w:hAnsi="Arial" w:cs="Arial"/>
            <w:color w:val="0070A8"/>
            <w:sz w:val="24"/>
            <w:szCs w:val="24"/>
            <w:lang w:eastAsia="ru-RU"/>
          </w:rPr>
          <w:t>разделом II</w:t>
        </w:r>
      </w:hyperlink>
      <w:r w:rsidRPr="00296395">
        <w:rPr>
          <w:rFonts w:ascii="Arial" w:eastAsia="Times New Roman" w:hAnsi="Arial" w:cs="Arial"/>
          <w:color w:val="000000"/>
          <w:sz w:val="24"/>
          <w:szCs w:val="24"/>
          <w:lang w:eastAsia="ru-RU"/>
        </w:rPr>
        <w:t> Программы при следующих заболеваниях и состояниях: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инфекционные и паразитарные болезни;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новообразования;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эндокринной системы;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расстройства питания и нарушения обмена веществ;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нервной системы;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крови, кроветворных органов;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отдельные нарушения, вовлекающие иммунный механизм;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глаза и его придаточного аппарата;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болезни уха и сосцевидного отростка;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системы кровообращения;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органов дыхания;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мочеполовой системы;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кожи и подкожной клетчатки;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болезни костно-мышечной системы и соединительной ткани;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травмы, отравления и некоторые другие последствия воздействия внешних причин;</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врожденные аномалии (пороки развития);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деформации и хромосомные нарушения;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беременность, роды, послеродовой период и аборты;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отдельные состояния, возникающие у детей в перинатальный период;</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психические расстройства и расстройства поведения;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симптомы, признаки и отклонения от нормы, не отнесенные к заболеваниям и состояниям.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соответствии с законодательством Российской Федерации отдельные категории граждан имеют право на: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обеспечение лекарственными препаратами (в соответствии с </w:t>
      </w:r>
      <w:hyperlink r:id="rId12" w:anchor="Par348" w:tooltip="VII. Нормативы финансовых затрат на единицу объема" w:history="1">
        <w:r w:rsidRPr="00296395">
          <w:rPr>
            <w:rFonts w:ascii="Arial" w:eastAsia="Times New Roman" w:hAnsi="Arial" w:cs="Arial"/>
            <w:color w:val="0070A8"/>
            <w:sz w:val="24"/>
            <w:szCs w:val="24"/>
            <w:lang w:eastAsia="ru-RU"/>
          </w:rPr>
          <w:t>разделом VII</w:t>
        </w:r>
      </w:hyperlink>
      <w:r w:rsidRPr="00296395">
        <w:rPr>
          <w:rFonts w:ascii="Arial" w:eastAsia="Times New Roman" w:hAnsi="Arial" w:cs="Arial"/>
          <w:color w:val="000000"/>
          <w:sz w:val="24"/>
          <w:szCs w:val="24"/>
          <w:lang w:eastAsia="ru-RU"/>
        </w:rPr>
        <w:t>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пренатальную (дородовую) диагностику нарушений развития ребенка - беременные женщины;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неонатальный скрининг на 5 наследственных и врожденных заболеваний - новорожденные дети;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аудиологический скрининг - новорожденные дети и дети первого года жизни.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IV. Территориальная программа 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9. Территориальная программа ОМС является составной частью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рамках территориальной программы 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3"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w:t>
      </w:r>
      <w:r w:rsidRPr="00296395">
        <w:rPr>
          <w:rFonts w:ascii="Arial" w:eastAsia="Times New Roman" w:hAnsi="Arial" w:cs="Arial"/>
          <w:color w:val="000000"/>
          <w:sz w:val="24"/>
          <w:szCs w:val="24"/>
          <w:lang w:eastAsia="ru-RU"/>
        </w:rPr>
        <w:lastRenderedPageBreak/>
        <w:t>иммунодефицита, туберкулеза, психических расстройств и расстройств поведения;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4"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15"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министерством здравоохранения области, ТФОМС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врачам-специалистам за оказанную медицинскую помощь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решении вопроса об индексации заработной платы медицинских работников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рамках проведения профилактических мероприятий министерство здравоохранения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На официальном сайте министерства здравоохранения Саратовской области www.minzdrav.saratov.gov.ru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оплате медицинской помощи, оказанной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w:t>
      </w:r>
      <w:r w:rsidRPr="00296395">
        <w:rPr>
          <w:rFonts w:ascii="Arial" w:eastAsia="Times New Roman" w:hAnsi="Arial" w:cs="Arial"/>
          <w:color w:val="000000"/>
          <w:sz w:val="24"/>
          <w:szCs w:val="24"/>
          <w:lang w:eastAsia="ru-RU"/>
        </w:rPr>
        <w:lastRenderedPageBreak/>
        <w:t>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оплате медицинской помощи, оказанной в условиях дневного стационара: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w:t>
      </w:r>
      <w:r w:rsidRPr="00296395">
        <w:rPr>
          <w:rFonts w:ascii="Arial" w:eastAsia="Times New Roman" w:hAnsi="Arial" w:cs="Arial"/>
          <w:color w:val="000000"/>
          <w:sz w:val="24"/>
          <w:szCs w:val="24"/>
          <w:lang w:eastAsia="ru-RU"/>
        </w:rPr>
        <w:lastRenderedPageBreak/>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фельдшерских/фельдшерско-акушерских пунктов.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между медицинскими организациями, оказывающими </w:t>
      </w:r>
      <w:r w:rsidRPr="00296395">
        <w:rPr>
          <w:rFonts w:ascii="Arial" w:eastAsia="Times New Roman" w:hAnsi="Arial" w:cs="Arial"/>
          <w:color w:val="000000"/>
          <w:sz w:val="24"/>
          <w:szCs w:val="24"/>
          <w:lang w:eastAsia="ru-RU"/>
        </w:rPr>
        <w:lastRenderedPageBreak/>
        <w:t>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Ежедневно врачу, оказывающему первичную специализированную медико-санитарную помощь,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Порядок направления на такие исследования устанавливается приказом министерства здравоохранения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w:t>
      </w:r>
      <w:r w:rsidRPr="00296395">
        <w:rPr>
          <w:rFonts w:ascii="Arial" w:eastAsia="Times New Roman" w:hAnsi="Arial" w:cs="Arial"/>
          <w:color w:val="000000"/>
          <w:sz w:val="24"/>
          <w:szCs w:val="24"/>
          <w:lang w:eastAsia="ru-RU"/>
        </w:rPr>
        <w:lastRenderedPageBreak/>
        <w:t>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Страховое обеспечение в соответствии с территориальной программой ОМС устанавливается в соответствии с порядками оказания медицинской помощи и на основе стандартов медицинской помощи, установленных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Финансовое обеспечение территориальной программы ОМС осуществляется в соответствии с </w:t>
      </w:r>
      <w:hyperlink r:id="rId16" w:anchor="Par183" w:tooltip="V. Финансовое обеспечение Программы" w:history="1">
        <w:r w:rsidRPr="00296395">
          <w:rPr>
            <w:rFonts w:ascii="Arial" w:eastAsia="Times New Roman" w:hAnsi="Arial" w:cs="Arial"/>
            <w:color w:val="0070A8"/>
            <w:sz w:val="24"/>
            <w:szCs w:val="24"/>
            <w:lang w:eastAsia="ru-RU"/>
          </w:rPr>
          <w:t>разделом V</w:t>
        </w:r>
      </w:hyperlink>
      <w:r w:rsidRPr="00296395">
        <w:rPr>
          <w:rFonts w:ascii="Arial" w:eastAsia="Times New Roman" w:hAnsi="Arial" w:cs="Arial"/>
          <w:color w:val="000000"/>
          <w:sz w:val="24"/>
          <w:szCs w:val="24"/>
          <w:lang w:eastAsia="ru-RU"/>
        </w:rPr>
        <w:t>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r:id="rId17" w:anchor="Par320" w:tooltip="VI. Нормативы объема медицинской помощи" w:history="1">
        <w:r w:rsidRPr="00296395">
          <w:rPr>
            <w:rFonts w:ascii="Arial" w:eastAsia="Times New Roman" w:hAnsi="Arial" w:cs="Arial"/>
            <w:color w:val="0070A8"/>
            <w:sz w:val="24"/>
            <w:szCs w:val="24"/>
            <w:lang w:eastAsia="ru-RU"/>
          </w:rPr>
          <w:t>разделом VI</w:t>
        </w:r>
      </w:hyperlink>
      <w:r w:rsidRPr="00296395">
        <w:rPr>
          <w:rFonts w:ascii="Arial" w:eastAsia="Times New Roman" w:hAnsi="Arial" w:cs="Arial"/>
          <w:color w:val="000000"/>
          <w:sz w:val="24"/>
          <w:szCs w:val="24"/>
          <w:lang w:eastAsia="ru-RU"/>
        </w:rPr>
        <w:t>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ОМС в расчете на 1 застрахованное лицо (в соответствии с </w:t>
      </w:r>
      <w:hyperlink r:id="rId18" w:anchor="Par348" w:tooltip="VII. Нормативы финансовых затрат на единицу объема" w:history="1">
        <w:r w:rsidRPr="00296395">
          <w:rPr>
            <w:rFonts w:ascii="Arial" w:eastAsia="Times New Roman" w:hAnsi="Arial" w:cs="Arial"/>
            <w:color w:val="0070A8"/>
            <w:sz w:val="24"/>
            <w:szCs w:val="24"/>
            <w:lang w:eastAsia="ru-RU"/>
          </w:rPr>
          <w:t>разделом VII</w:t>
        </w:r>
      </w:hyperlink>
      <w:r w:rsidRPr="00296395">
        <w:rPr>
          <w:rFonts w:ascii="Arial" w:eastAsia="Times New Roman" w:hAnsi="Arial" w:cs="Arial"/>
          <w:color w:val="000000"/>
          <w:sz w:val="24"/>
          <w:szCs w:val="24"/>
          <w:lang w:eastAsia="ru-RU"/>
        </w:rPr>
        <w:t> Программы), </w:t>
      </w:r>
      <w:hyperlink r:id="rId19" w:anchor="Par14364" w:tooltip="УСЛОВИЯ И ПОРЯДОК" w:history="1">
        <w:r w:rsidRPr="00296395">
          <w:rPr>
            <w:rFonts w:ascii="Arial" w:eastAsia="Times New Roman" w:hAnsi="Arial" w:cs="Arial"/>
            <w:color w:val="0070A8"/>
            <w:sz w:val="24"/>
            <w:szCs w:val="24"/>
            <w:lang w:eastAsia="ru-RU"/>
          </w:rPr>
          <w:t>условия и порядок</w:t>
        </w:r>
      </w:hyperlink>
      <w:r w:rsidRPr="00296395">
        <w:rPr>
          <w:rFonts w:ascii="Arial" w:eastAsia="Times New Roman" w:hAnsi="Arial" w:cs="Arial"/>
          <w:color w:val="000000"/>
          <w:sz w:val="24"/>
          <w:szCs w:val="24"/>
          <w:lang w:eastAsia="ru-RU"/>
        </w:rPr>
        <w:t> оказания медицинской помощи (в соответствии с приложением N 6 к Программе), целевые значения критериев доступности и качества медицинской помощи (в соответствии с </w:t>
      </w:r>
      <w:hyperlink r:id="rId20" w:anchor="Par397" w:tooltip="VIII. Целевые значения критериев доступности и качества" w:history="1">
        <w:r w:rsidRPr="00296395">
          <w:rPr>
            <w:rFonts w:ascii="Arial" w:eastAsia="Times New Roman" w:hAnsi="Arial" w:cs="Arial"/>
            <w:color w:val="0070A8"/>
            <w:sz w:val="24"/>
            <w:szCs w:val="24"/>
            <w:lang w:eastAsia="ru-RU"/>
          </w:rPr>
          <w:t>разделом VIII</w:t>
        </w:r>
      </w:hyperlink>
      <w:r w:rsidRPr="00296395">
        <w:rPr>
          <w:rFonts w:ascii="Arial" w:eastAsia="Times New Roman" w:hAnsi="Arial" w:cs="Arial"/>
          <w:color w:val="000000"/>
          <w:sz w:val="24"/>
          <w:szCs w:val="24"/>
          <w:lang w:eastAsia="ru-RU"/>
        </w:rPr>
        <w:t>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V. Финансовое обеспечение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10. Источниками финансового обеспечения Программы являются средства областного бюджета и средства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11. Перечень заболеваний и состояний, при которых медицинская помощь гражданам предоставляется бесплатно за счет бюджетных ассигнований областного бюджета и средств бюджета ТФОМС.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tbl>
      <w:tblPr>
        <w:tblW w:w="94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66"/>
        <w:gridCol w:w="7249"/>
        <w:gridCol w:w="1635"/>
      </w:tblGrid>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N п/п</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Заболевания и травмы</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Классы по МКБ-10</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Инфекционные и паразитарные болезни, в том числе венерические заболевания, туберкулез, ВИЧ-инфекция, синдром приобретенного иммунодефицита (СПИД) и лепра</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(А00-В99)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Новообразования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II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(С00-D48)</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Болезни крови, кроветворных органов и отдельные нарушения, вовлекающие иммунный механизм</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III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(D50-D89)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эндокринной системы, расстройства питания и нарушения обмена веществ</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IV</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(Е00-Е90)</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Психические расстройства и расстройства поведения, в том числе связанные с употреблением психоактивных веществ</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V</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(F00-F99)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нервной системы</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VI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(G00-G99)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Болезни глаза и его придаточного аппарата</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VII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(Н00-Н59)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уха и сосцевидного отростка</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VIII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(Н60-Н95)</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9.</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Болезни системы кровообращения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IX</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(I00-I99)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органов дыхания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X</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(J00-J99)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11.</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XI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(К00-К93)</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кожи и подкожной клетчатки</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XII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(L00-L99)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13.</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Болезни костно-мышечной системы и соединительной ткани</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XIII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(М00-М99)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14.</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Болезни мочеполовой системы</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XIV</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(N00-N99)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15.</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Беременность, роды и послеродовый период (включая аборты по медицинским, социальным показаниям и по желанию женщин)</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XV</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(О00-О99)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16.</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Отдельные состояния, возникающие у детей в перинатальный период</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XVI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(Р00-Р96)</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17.</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Врожденные аномалии (пороки развития), деформации и хромосомные нарушения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XVII</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(Q00-Q99)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18.</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XVIII</w:t>
            </w:r>
          </w:p>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(R00-R99)</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19.</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XIX</w:t>
            </w:r>
          </w:p>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(S00-T98)</w:t>
            </w:r>
          </w:p>
        </w:tc>
      </w:tr>
      <w:tr w:rsidR="00296395" w:rsidRPr="00296395" w:rsidTr="00296395">
        <w:tc>
          <w:tcPr>
            <w:tcW w:w="54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20.</w:t>
            </w:r>
          </w:p>
        </w:tc>
        <w:tc>
          <w:tcPr>
            <w:tcW w:w="69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Факторы, влияющие на состояние человека и обращения в учреждения здравоохранения</w:t>
            </w:r>
          </w:p>
        </w:tc>
        <w:tc>
          <w:tcPr>
            <w:tcW w:w="156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(Z00-Z99)</w:t>
            </w:r>
          </w:p>
        </w:tc>
      </w:tr>
    </w:tbl>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12. За счет средств обязательного медицинского страхования в рамках территориальной программы 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21"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22"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Программы, в том числе в рамках диспансеризации, диспансеризацию, диспансерное наблюдение (при заболеваниях и состояниях, указанных в </w:t>
      </w:r>
      <w:hyperlink r:id="rId23"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r w:rsidRPr="00296395">
        <w:rPr>
          <w:rFonts w:ascii="Arial" w:eastAsia="Times New Roman" w:hAnsi="Arial" w:cs="Arial"/>
          <w:color w:val="000000"/>
          <w:sz w:val="24"/>
          <w:szCs w:val="24"/>
          <w:lang w:eastAsia="ru-RU"/>
        </w:rPr>
        <w:lastRenderedPageBreak/>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13. За счет бюджетных ассигнований федерального бюджета (прогнозно) осуществляется финансовое обеспечение: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w:t>
      </w:r>
      <w:r w:rsidRPr="00296395">
        <w:rPr>
          <w:rFonts w:ascii="Arial" w:eastAsia="Times New Roman" w:hAnsi="Arial" w:cs="Arial"/>
          <w:color w:val="000000"/>
          <w:sz w:val="24"/>
          <w:szCs w:val="24"/>
          <w:lang w:eastAsia="ru-RU"/>
        </w:rPr>
        <w:lastRenderedPageBreak/>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w:t>
      </w:r>
      <w:r w:rsidRPr="00296395">
        <w:rPr>
          <w:rFonts w:ascii="Arial" w:eastAsia="Times New Roman" w:hAnsi="Arial" w:cs="Arial"/>
          <w:color w:val="000000"/>
          <w:sz w:val="24"/>
          <w:szCs w:val="24"/>
          <w:lang w:eastAsia="ru-RU"/>
        </w:rPr>
        <w:lastRenderedPageBreak/>
        <w:t>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дополнительных мероприятий, установленных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деятельности, связанной с донорством органов и тканей человека в целях трансплантации (пересадки).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14. За счет бюджетных ассигнований областного бюджета осуществляется финансовое обеспечение: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r w:rsidRPr="00296395">
        <w:rPr>
          <w:rFonts w:ascii="Arial" w:eastAsia="Times New Roman" w:hAnsi="Arial" w:cs="Arial"/>
          <w:color w:val="000000"/>
          <w:sz w:val="24"/>
          <w:szCs w:val="24"/>
          <w:lang w:eastAsia="ru-RU"/>
        </w:rPr>
        <w:lastRenderedPageBreak/>
        <w:t>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высокотехнологичной медицинской помощи, оказываемой в медицинских организациях, подведомственных министерству здравоохранения области, в соответствии с разделом II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w:t>
      </w:r>
      <w:r w:rsidRPr="00296395">
        <w:rPr>
          <w:rFonts w:ascii="Arial" w:eastAsia="Times New Roman" w:hAnsi="Arial" w:cs="Arial"/>
          <w:color w:val="000000"/>
          <w:sz w:val="24"/>
          <w:szCs w:val="24"/>
          <w:lang w:eastAsia="ru-RU"/>
        </w:rPr>
        <w:lastRenderedPageBreak/>
        <w:t>выездных патронажных бригад, осуществляется в соответствии с законодательством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Возмещение Саратовской области понесенных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гражданам, зарегистрированным по месту жительства на территории другого субъекта Российской Федерации, осуществляется на основании межрегионального соглашения, заключенного между Саратовской областью и соответствующим субъектом Российской Федерации, включающего двустороннее урегулирование вопроса возмещения затрат.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осуществляется: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w:t>
      </w:r>
      <w:r w:rsidRPr="00296395">
        <w:rPr>
          <w:rFonts w:ascii="Arial" w:eastAsia="Times New Roman" w:hAnsi="Arial" w:cs="Arial"/>
          <w:color w:val="000000"/>
          <w:sz w:val="24"/>
          <w:szCs w:val="24"/>
          <w:lang w:eastAsia="ru-RU"/>
        </w:rPr>
        <w:lastRenderedPageBreak/>
        <w:t>освидетельствования в целях определения годности граждан к военной или приравненной к ней службе.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Кроме того, за счет бюджетных ассигнований федерального бюджета (прогнозно),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исполнительным органам государственной власти области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24" w:anchor="Par97" w:tooltip="III. Перечень заболеваний и состояний, оказание медицинской" w:history="1">
        <w:r w:rsidRPr="00296395">
          <w:rPr>
            <w:rFonts w:ascii="Arial" w:eastAsia="Times New Roman" w:hAnsi="Arial" w:cs="Arial"/>
            <w:color w:val="0070A8"/>
            <w:sz w:val="24"/>
            <w:szCs w:val="24"/>
            <w:lang w:eastAsia="ru-RU"/>
          </w:rPr>
          <w:t>разделе III</w:t>
        </w:r>
      </w:hyperlink>
      <w:r w:rsidRPr="00296395">
        <w:rPr>
          <w:rFonts w:ascii="Arial" w:eastAsia="Times New Roman" w:hAnsi="Arial" w:cs="Arial"/>
          <w:color w:val="000000"/>
          <w:sz w:val="24"/>
          <w:szCs w:val="24"/>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296395">
        <w:rPr>
          <w:rFonts w:ascii="Arial" w:eastAsia="Times New Roman" w:hAnsi="Arial" w:cs="Arial"/>
          <w:color w:val="000000"/>
          <w:sz w:val="24"/>
          <w:szCs w:val="24"/>
          <w:lang w:eastAsia="ru-RU"/>
        </w:rPr>
        <w:lastRenderedPageBreak/>
        <w:t>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15.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5" w:anchor="Par5182" w:tooltip="ПЕРЕЧЕНЬ" w:history="1">
        <w:r w:rsidRPr="00296395">
          <w:rPr>
            <w:rFonts w:ascii="Arial" w:eastAsia="Times New Roman" w:hAnsi="Arial" w:cs="Arial"/>
            <w:color w:val="0070A8"/>
            <w:sz w:val="24"/>
            <w:szCs w:val="24"/>
            <w:lang w:eastAsia="ru-RU"/>
          </w:rPr>
          <w:t>перечень</w:t>
        </w:r>
      </w:hyperlink>
      <w:r w:rsidRPr="00296395">
        <w:rPr>
          <w:rFonts w:ascii="Arial" w:eastAsia="Times New Roman" w:hAnsi="Arial" w:cs="Arial"/>
          <w:color w:val="000000"/>
          <w:sz w:val="24"/>
          <w:szCs w:val="24"/>
          <w:lang w:eastAsia="ru-RU"/>
        </w:rPr>
        <w:t> жизненно необходимых и важнейших лекарственных препаратов (далее - Перечень) (приложение N 4 к Программе) в соответствии с Федеральным законом "Об обращении лекарственных средств", перечнем жизненно необходимых и важнейших лекарственных препаратов, ежегодно утверждаемым Правительством Российской Федерации, включенными в утвержденный Правительством Российской Федерации перечень медицинских изделий, имплантируемых в организм человека.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При оказании стационарной помощи в случае необходимости назначения лекарственных средств, не входящих в Перечень,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средств, а также при непереносимости лекарственных средств, входящих в Перечень, лекарственная помощь осуществляется в соответствии с порядком, установленным нормативными правовыми актами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16. При оказании амбулаторной медицинской помощи бесплатное или льготное лекарственное обеспечение осуществляется в соответствии с нормативными правовыми актами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В соответствии с Законом Саратовской области "О мерах социальной поддержки отдельных категорий граждан в Саратовской области" отдельным категориям граждан, указанным в названном законе области, предоставляются ежемесячные денежные выплаты.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17. В соответствии с законодательством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 законодательством Российской Федерации, за счет средств Саратовского регионального отделения Фонда социального страхования Российской Федерации, предусмотренных на осуществление обязательного социального страхования от несчастных случаев на производстве и профессиональных заболеваний (прогнозно).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VI. Нормативы объема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для скорой медицинской помощи вне медицинской организации, включая медицинскую эвакуацию, в рамках территориальной программы ОМС на 2020 - 2022 годы - 0,29 вызова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на 2020 - 2022 годы - 0,012 вызова на 1 жителя;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для медицинской помощи в амбулаторных условиях, оказываемой: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296395">
        <w:rPr>
          <w:rFonts w:ascii="Arial" w:eastAsia="Times New Roman" w:hAnsi="Arial" w:cs="Arial"/>
          <w:color w:val="000000"/>
          <w:sz w:val="24"/>
          <w:szCs w:val="24"/>
          <w:lang w:eastAsia="ru-RU"/>
        </w:rPr>
        <w:lastRenderedPageBreak/>
        <w:t>челюстей, за исключением зубного протезирования, а также посещения центров амбулаторной онкологической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на 2020 - 2022 годы - 0,660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- 0,0055 посещения на 1 жителя, на 2021 - 2022 годы - 0,0056 посещения на 1 жителя, в том числе при осуществлении посещений на дому выездными патронажными бригадами, на 2020 - 2022 годы - 0,0009 посещения на 1 жителя;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рамках территориальной программы ОМС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неотложной форме, в рамках территориальной программы ОМС на 2020 год - 0,323 посещения на 1 застрахованное лицо; на 2021 год - 0,342 посещения на 1 застрахованное лицо; на 2022 год - 0,366 посещения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связи с заболеваниями: за счет бюджетных ассигнований областного бюджета на 2020 - 2022 годы - 0,130 обращения на 1 жителя, 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компьютерная томография - 0,0129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магнитно-резонансная томография - 0,0064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ультразвуковое исследование сердечно-сосудистой системы - 0,0819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эндоскопические диагностические исследования - 0,0336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молекулярно-генетические исследования с целью выявления онкологических заболеваний - 0,0002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гистологические исследования с целью выявления онкологических заболеваний - 0,0137 исследования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для медицинской помощи в условиях дневных стационаров за счет бюджетных ассигнований областного бюджета на 2020 - 2022 годы - 0,0036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для специализированной медицинской помощи в стационарных условиях за счет бюджетных ассигнований областного бюджета на 2020 - 2022 годы - 0,011 случая госпитализации на 1 жителя; в рамках территориальной программы ОМС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2022 год - 0,0121121 случая госпитализации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2020 - 2022 годы - 0,005 случая госпитализации на 1 застрахованное лицо (в том числе для детей в возрасте 0 - </w:t>
      </w:r>
      <w:r w:rsidRPr="00296395">
        <w:rPr>
          <w:rFonts w:ascii="Arial" w:eastAsia="Times New Roman" w:hAnsi="Arial" w:cs="Arial"/>
          <w:color w:val="000000"/>
          <w:sz w:val="24"/>
          <w:szCs w:val="24"/>
          <w:lang w:eastAsia="ru-RU"/>
        </w:rPr>
        <w:lastRenderedPageBreak/>
        <w:t>17 лет на 2020 год - 0,00045 случая госпитализации на 1 застрахованное лицо, на 2021 год - 0,00061 случая госпитализации на 1 застрахованное лицо, на 2022 год - 0,00077 случая госпитализации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для паллиативной медицинской помощи в стационарных условиях (включая койки паллиативной медицинской помощи и сестринского ухода) за счет бюджетных ассигнований областного бюджета на 2020 год - 0,0833 койко-дня на 1 жителя, на 2021 год - 0,0849 койко-дня на 1 жителя и 2022 год - 0,0864 койко-дня на 1 жителя.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части медицинской помощи, финансовое обеспечение которой осуществляется за счет бюджетных ассигнований областного бюджета, в Программе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При формировании Программы нормативы объемов медицинской помощи откорректированы с учетом особенностей возрастно-полового состава, уровня и структуры заболеваемости населения области, климато-географических условий области и транспортной доступности медицинских организаций.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VII. Нормативы финансовых затрат на единицу объема</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подушевые нормативы финансирования,</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способы оплаты медицинской помощи, порядок формирования</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и структура тарифов на оплату медицинской помощи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19. Нормативы финансовых затрат на единицу объема медицинской помощи для целей формирования Программы на 2020 год составляют: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вызов скорой медицинской помощи, в том числе скорой специализированной, медицинской помощи за счет бюджетных ассигнований областного бюджета - 3783,8 рубля,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6343,5 рубля; за счет средств обязательного медицинского страхования - 2444,3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посещение при оказании медицинской помощи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 профилактическими и иными целями: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- 454,7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- 399,8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- 2000,3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за счет средств обязательного медицинского страхования на 1 комплексное посещение для проведения профилактических медицинских осмотров - 1849,3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- 2125,9 рубля, на 1 посещение с иными целями - 283,5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неотложной форме за счет средств обязательного медицинского страхования - 654,8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- 1313,9 рубля, за счет средств обязательного медицинского страхования - 1467,7 рубля, включая нормативы финансовых затрат на проведение одного исследования в 2020 - 2022 годах: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компьютерной томографии - 3543,4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магнитно-резонансной томографии - 4001,9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ультразвукового исследования сердечно-сосудистой системы - 641,1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эндоскопического диагностического исследования - 881,5 рубля, молекулярно-генетического исследования с целью выявления онкологических заболеваний - 15015,0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гистологического исследования с целью выявления онкологических заболеваний - 575,7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случай лечения в условиях дневных стационаров за счет бюджетных ассигнований областного бюджета - 13500,7 рубля, за счет средств обязательного медицинского страхования - 20586,5 рубля, на 1 случай лечения по профилю "онкология" за счет средств обязательного медицинского страхования - 78139,8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бюджетных ассигнований областного бюджета - 73619,1 рубля, за счет средств обязательного медицинского страхования - 34938,0 рубля, на 1 случай </w:t>
      </w:r>
      <w:r w:rsidRPr="00296395">
        <w:rPr>
          <w:rFonts w:ascii="Arial" w:eastAsia="Times New Roman" w:hAnsi="Arial" w:cs="Arial"/>
          <w:color w:val="000000"/>
          <w:sz w:val="24"/>
          <w:szCs w:val="24"/>
          <w:lang w:eastAsia="ru-RU"/>
        </w:rPr>
        <w:lastRenderedPageBreak/>
        <w:t>госпитализации по профилю "онкология" за счет средств обязательного медицинского страхования - 101500,4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- 36352,1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бюджетных ассигнований областного бюджета - 1926,8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Нормативы финансовых затрат на 1 случай экстракорпорального оплодотворения составляют 119480,4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Нормативы финансовых затрат на единицу объема медицинской помощи, оказываемой в соответствии с Программой, на 2021 и 2022 годы составляют: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вызов скорой медицинской помощи, в том числе скорой специализированной, медицинской помощи за счет бюджетных ассигнований областного бюджета на 2021 год - 2966,4 рубля, на 2022 год - 3099,0 рубля,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2021 год - 6597,2 рубля, на 2022 год - 6861,1 рубля; за счет средств обязательного медицинского страхования на 2021 год - 2583,9 рубля, на 2022 год - 2677,7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посещение при оказании медицинской помощи в амбулаторных условиях:</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с профилактическими и иными целями: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- 356,2 рубля, на 2022 год - 372,0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- 400,8 рубля, на 2022 год - 404,5 рубля, на 1 посещение </w:t>
      </w:r>
      <w:r w:rsidRPr="00296395">
        <w:rPr>
          <w:rFonts w:ascii="Arial" w:eastAsia="Times New Roman" w:hAnsi="Arial" w:cs="Arial"/>
          <w:color w:val="000000"/>
          <w:sz w:val="24"/>
          <w:szCs w:val="24"/>
          <w:lang w:eastAsia="ru-RU"/>
        </w:rPr>
        <w:lastRenderedPageBreak/>
        <w:t>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- 2002,1 рубля, на 2022 год - 2004,9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- 1951,4 рубля, на 2022 год - 2005,2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на 2021 год - 2175,5 рубля, на 2022 год - 2218,4 рубля, на 1 посещение с иными целями на 2021 год - 314,6 рубля, на 2022 год - 385,7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неотложной форме за счет средств обязательного медицинского страхования на 2021 год - 691,2 рубля, на 2022 год - 718,5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2021 год - 1025,4 рубля, на 2022 год - 1072,4 рубля, за счет средств обязательного медицинского страхования на 2021 год - 1523,5 рубля, на 2022 год - 1530,7 рубля, включая средства на проведение отдельных диагностических (лабораторных) исследований;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случай лечения в условиях дневных стационаров за счет бюджетных ассигнований областного бюджета на 2021 год - 10546,6 рубля, на 2022 год - 11022,7 рубля, за счет средств обязательного медицинского страхования - на 2021 год - 21629,6 рубля, 2022 год - 22485,3 рубля, на 1 случай лечения по профилю "онкология" за счет средств обязательного медицинского страхования на 2021 год - 87233,1 рубля, на 2022 год - 90504,3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бюджетных ассигнований областного бюджета на 2021 год - 57656,4 рубля, на 2022 год - 60210,8 рубля, за счет средств обязательного медицинского страхования на 2021 год - 37114,7 рубля, на 2022 год - 38544,3 рубля, на 1 случай госпитализации по профилю "онкология" за счет средств обязательного </w:t>
      </w:r>
      <w:r w:rsidRPr="00296395">
        <w:rPr>
          <w:rFonts w:ascii="Arial" w:eastAsia="Times New Roman" w:hAnsi="Arial" w:cs="Arial"/>
          <w:color w:val="000000"/>
          <w:sz w:val="24"/>
          <w:szCs w:val="24"/>
          <w:lang w:eastAsia="ru-RU"/>
        </w:rPr>
        <w:lastRenderedPageBreak/>
        <w:t>медицинского страхования на 2021 год - 114603,8 рубля, на 2022 год - 121508,1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- 38194,0 рубля, на 2022 год - 40110,2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бюджетных ассигнований областного бюджета на 2021 год - 1928,5 рубля, на 2022 год - 1981,7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Нормативы финансовых затрат на 1 случай экстракорпорального оплодотворения составляют на 2021 год - 125534,2 рубля, на 2022 год - 129087,9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устанавливаются с учетом применения различных видов и методов исследований систем, органов и тканей человека, обусловленного заболеваемостью населения.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20.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21. Подушевые нормативы финансирования устанавливаются исходя из нормативов, предусмотренных </w:t>
      </w:r>
      <w:hyperlink r:id="rId26" w:anchor="Par320" w:tooltip="VI. Нормативы объема медицинской помощи" w:history="1">
        <w:r w:rsidRPr="00296395">
          <w:rPr>
            <w:rFonts w:ascii="Arial" w:eastAsia="Times New Roman" w:hAnsi="Arial" w:cs="Arial"/>
            <w:color w:val="0070A8"/>
            <w:sz w:val="24"/>
            <w:szCs w:val="24"/>
            <w:lang w:eastAsia="ru-RU"/>
          </w:rPr>
          <w:t>разделом VI</w:t>
        </w:r>
      </w:hyperlink>
      <w:r w:rsidRPr="00296395">
        <w:rPr>
          <w:rFonts w:ascii="Arial" w:eastAsia="Times New Roman" w:hAnsi="Arial" w:cs="Arial"/>
          <w:color w:val="000000"/>
          <w:sz w:val="24"/>
          <w:szCs w:val="24"/>
          <w:lang w:eastAsia="ru-RU"/>
        </w:rPr>
        <w:t> и настоящим разделом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Подушевые нормативы финансирования, предусмотренные Программой (без учета расходов федерального бюджета), составляют:</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за счет бюджетных ассигнований областного бюджета (в расчете на 1 жителя) в 2020 году - 2322,0 рубля, в 2021 году - 1857,4 рубля, в 2022 году - 1934,5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- 12662,5 рубля, в 2021 году - 13424,7 рубля, в 2022 году - 14156,4 рубля.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рамках подушевого норматива финансового обеспечения территориальной программы ОМС устанавливаются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Финансовое обеспечение Программы осуществляется в объемах, предусмотренных в областном бюджете в соответствии с Законом Саратовской области "Об областном бюджете на 2020 год и на плановый период 2021 и 2022 годов", в бюджете ТФОМС области в соответствии с Законом Саратовской области "О бюджете Территориального фонда обязательного медицинского страхования Саратовской области на 2020 год и на плановый период 2021 и 2022 годов" (</w:t>
      </w:r>
      <w:hyperlink r:id="rId27" w:anchor="Par885" w:tooltip="Приложение N 1" w:history="1">
        <w:r w:rsidRPr="00296395">
          <w:rPr>
            <w:rFonts w:ascii="Arial" w:eastAsia="Times New Roman" w:hAnsi="Arial" w:cs="Arial"/>
            <w:color w:val="0070A8"/>
            <w:sz w:val="24"/>
            <w:szCs w:val="24"/>
            <w:lang w:eastAsia="ru-RU"/>
          </w:rPr>
          <w:t>приложение N 1</w:t>
        </w:r>
      </w:hyperlink>
      <w:r w:rsidRPr="00296395">
        <w:rPr>
          <w:rFonts w:ascii="Arial" w:eastAsia="Times New Roman" w:hAnsi="Arial" w:cs="Arial"/>
          <w:color w:val="000000"/>
          <w:sz w:val="24"/>
          <w:szCs w:val="24"/>
          <w:lang w:eastAsia="ru-RU"/>
        </w:rPr>
        <w:t> к настоящей Программе).</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В соответствии с законодательством годовой объем бюджетных ассигнований на обязательное медицинское страхование неработающего населения утвержден Законом Саратовской области "Об областном бюджете на 2020 год и на плановый период 2021 и 2022 годов".</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lastRenderedPageBreak/>
        <w:t>Размер финансового обеспечения фельдшерских, фельдшерско-акушерских пунктов устанавливается Тарифным соглашением по обязательному медицинскому страхованию в Саратовской области.</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VIII. Целевые значения критериев доступности и качества</w:t>
      </w:r>
    </w:p>
    <w:p w:rsidR="00296395" w:rsidRPr="00296395" w:rsidRDefault="00296395" w:rsidP="00296395">
      <w:pPr>
        <w:shd w:val="clear" w:color="auto" w:fill="FFFFFF"/>
        <w:spacing w:before="150" w:after="150" w:line="408" w:lineRule="atLeast"/>
        <w:jc w:val="center"/>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медицинской помощи, оказываемой в рамках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22. Целевые значения критериев доступности и качества медицинской помощи, оказываемой в рамках Программы:</w:t>
      </w:r>
    </w:p>
    <w:p w:rsidR="00296395" w:rsidRPr="00296395" w:rsidRDefault="00296395" w:rsidP="00296395">
      <w:pPr>
        <w:shd w:val="clear" w:color="auto" w:fill="FFFFFF"/>
        <w:spacing w:before="150" w:after="150" w:line="408" w:lineRule="atLeast"/>
        <w:rPr>
          <w:rFonts w:ascii="Arial" w:eastAsia="Times New Roman" w:hAnsi="Arial" w:cs="Arial"/>
          <w:color w:val="000000"/>
          <w:sz w:val="24"/>
          <w:szCs w:val="24"/>
          <w:lang w:eastAsia="ru-RU"/>
        </w:rPr>
      </w:pPr>
      <w:r w:rsidRPr="00296395">
        <w:rPr>
          <w:rFonts w:ascii="Arial" w:eastAsia="Times New Roman" w:hAnsi="Arial" w:cs="Arial"/>
          <w:color w:val="000000"/>
          <w:sz w:val="24"/>
          <w:szCs w:val="24"/>
          <w:lang w:eastAsia="ru-RU"/>
        </w:rPr>
        <w:t> </w:t>
      </w:r>
    </w:p>
    <w:tbl>
      <w:tblPr>
        <w:tblW w:w="94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656"/>
        <w:gridCol w:w="3489"/>
        <w:gridCol w:w="2722"/>
        <w:gridCol w:w="861"/>
        <w:gridCol w:w="861"/>
        <w:gridCol w:w="861"/>
      </w:tblGrid>
      <w:tr w:rsidR="00296395" w:rsidRPr="00296395" w:rsidTr="00296395">
        <w:tc>
          <w:tcPr>
            <w:tcW w:w="630" w:type="dxa"/>
            <w:vMerge w:val="restart"/>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N п/п</w:t>
            </w:r>
          </w:p>
        </w:tc>
        <w:tc>
          <w:tcPr>
            <w:tcW w:w="3345" w:type="dxa"/>
            <w:vMerge w:val="restart"/>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Наименование критерия</w:t>
            </w:r>
          </w:p>
        </w:tc>
        <w:tc>
          <w:tcPr>
            <w:tcW w:w="2610" w:type="dxa"/>
            <w:vMerge w:val="restart"/>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Единица измерения</w:t>
            </w:r>
          </w:p>
        </w:tc>
        <w:tc>
          <w:tcPr>
            <w:tcW w:w="2475" w:type="dxa"/>
            <w:gridSpan w:val="3"/>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Целевое значение критерия</w:t>
            </w:r>
          </w:p>
        </w:tc>
      </w:tr>
      <w:tr w:rsidR="00296395" w:rsidRPr="00296395" w:rsidTr="00296395">
        <w:tc>
          <w:tcPr>
            <w:tcW w:w="0" w:type="auto"/>
            <w:vMerge/>
            <w:tcBorders>
              <w:top w:val="single" w:sz="24" w:space="0" w:color="CECECE"/>
              <w:left w:val="single" w:sz="24" w:space="0" w:color="CECECE"/>
              <w:bottom w:val="single" w:sz="24" w:space="0" w:color="CECECE"/>
              <w:right w:val="single" w:sz="24" w:space="0" w:color="CECECE"/>
            </w:tcBorders>
            <w:vAlign w:val="center"/>
            <w:hideMark/>
          </w:tcPr>
          <w:p w:rsidR="00296395" w:rsidRPr="00296395" w:rsidRDefault="00296395" w:rsidP="00296395">
            <w:pPr>
              <w:spacing w:after="0" w:line="408" w:lineRule="atLeast"/>
              <w:rPr>
                <w:rFonts w:ascii="Times New Roman" w:eastAsia="Times New Roman" w:hAnsi="Times New Roman" w:cs="Times New Roman"/>
                <w:sz w:val="24"/>
                <w:szCs w:val="24"/>
                <w:lang w:eastAsia="ru-RU"/>
              </w:rPr>
            </w:pPr>
          </w:p>
        </w:tc>
        <w:tc>
          <w:tcPr>
            <w:tcW w:w="0" w:type="auto"/>
            <w:vMerge/>
            <w:tcBorders>
              <w:top w:val="single" w:sz="24" w:space="0" w:color="CECECE"/>
              <w:left w:val="single" w:sz="24" w:space="0" w:color="CECECE"/>
              <w:bottom w:val="single" w:sz="24" w:space="0" w:color="CECECE"/>
              <w:right w:val="single" w:sz="24" w:space="0" w:color="CECECE"/>
            </w:tcBorders>
            <w:vAlign w:val="center"/>
            <w:hideMark/>
          </w:tcPr>
          <w:p w:rsidR="00296395" w:rsidRPr="00296395" w:rsidRDefault="00296395" w:rsidP="00296395">
            <w:pPr>
              <w:spacing w:after="0" w:line="408" w:lineRule="atLeast"/>
              <w:rPr>
                <w:rFonts w:ascii="Times New Roman" w:eastAsia="Times New Roman" w:hAnsi="Times New Roman" w:cs="Times New Roman"/>
                <w:sz w:val="24"/>
                <w:szCs w:val="24"/>
                <w:lang w:eastAsia="ru-RU"/>
              </w:rPr>
            </w:pPr>
          </w:p>
        </w:tc>
        <w:tc>
          <w:tcPr>
            <w:tcW w:w="0" w:type="auto"/>
            <w:vMerge/>
            <w:tcBorders>
              <w:top w:val="single" w:sz="24" w:space="0" w:color="CECECE"/>
              <w:left w:val="single" w:sz="24" w:space="0" w:color="CECECE"/>
              <w:bottom w:val="single" w:sz="24" w:space="0" w:color="CECECE"/>
              <w:right w:val="single" w:sz="24" w:space="0" w:color="CECECE"/>
            </w:tcBorders>
            <w:vAlign w:val="center"/>
            <w:hideMark/>
          </w:tcPr>
          <w:p w:rsidR="00296395" w:rsidRPr="00296395" w:rsidRDefault="00296395" w:rsidP="00296395">
            <w:pPr>
              <w:spacing w:after="0" w:line="408" w:lineRule="atLeast"/>
              <w:rPr>
                <w:rFonts w:ascii="Times New Roman" w:eastAsia="Times New Roman" w:hAnsi="Times New Roman" w:cs="Times New Roman"/>
                <w:sz w:val="24"/>
                <w:szCs w:val="24"/>
                <w:lang w:eastAsia="ru-RU"/>
              </w:rPr>
            </w:pP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2020 год</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2021 год</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2022 год</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w:t>
            </w:r>
          </w:p>
        </w:tc>
      </w:tr>
      <w:tr w:rsidR="00296395" w:rsidRPr="00296395" w:rsidTr="00296395">
        <w:tc>
          <w:tcPr>
            <w:tcW w:w="9045" w:type="dxa"/>
            <w:gridSpan w:val="6"/>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Критериями качества медицинской помощи являются:</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Удовлетворенность населения медицинской помощью,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 числа опрошенных</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46,5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47,0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1.1.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Смертность населения в трудоспособном возрасте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число умерших в трудоспособном возрасте на 100 тыс. человек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419,3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402,5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386,0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Материнская смертность</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100 тыс. человек, родившихся живыми</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8,5</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Младенческая смертность,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1000 человек, родившихся живыми</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в городской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в сельской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умерших в возрасте до 1 года на дому в общем количестве умерших в возрасте до 1 года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Смертность детей в возрасте 0 - 4 лет</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1000 родившихся живыми</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5,9</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8.</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Смертность населения,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число умерших на 1000 человек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13,1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12,7</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в городской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12,7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12,5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12,3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в сельской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14,3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14,1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13,9</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9.</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умерших в возрасте 0 - 4 лет на дому в общем количестве умерших в возрасте 0 - 4 лет</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14,1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14,0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14,0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Смертность детей в возрасте 0 - 17 лет</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100 тыс. человек населения соответствующего возраста</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49,8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49,5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49,3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24,0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23,7</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35,6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35,6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35,6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13.</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xml:space="preserve">Доля впервые выявленных заболеваний при профилактических </w:t>
            </w:r>
            <w:r w:rsidRPr="00296395">
              <w:rPr>
                <w:rFonts w:ascii="Times New Roman" w:eastAsia="Times New Roman" w:hAnsi="Times New Roman" w:cs="Times New Roman"/>
                <w:sz w:val="24"/>
                <w:szCs w:val="24"/>
                <w:lang w:eastAsia="ru-RU"/>
              </w:rPr>
              <w:lastRenderedPageBreak/>
              <w:t>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26,6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27,1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27,8</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14.</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23,6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23,8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23,9</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15.</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52,1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52,7</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16.</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17.</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60,5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61,2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61,8</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18.</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25,0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27,0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19.</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75,0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20.</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не более 0,5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не более 0,5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не более 0,5</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72,5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75,0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75,4</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47,0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47,8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51,0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w:t>
            </w:r>
            <w:r w:rsidRPr="00296395">
              <w:rPr>
                <w:rFonts w:ascii="Times New Roman" w:eastAsia="Times New Roman" w:hAnsi="Times New Roman" w:cs="Times New Roman"/>
                <w:sz w:val="24"/>
                <w:szCs w:val="24"/>
                <w:lang w:eastAsia="ru-RU"/>
              </w:rPr>
              <w:lastRenderedPageBreak/>
              <w:t>помощь выездными бригадами скорой медицинской помощи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52,6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53,4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54,0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24.</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47,5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50,2</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25.</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34,0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26.</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27.</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xml:space="preserve">Доля пациентов, получающих обезболивание в рамках оказания паллиативной </w:t>
            </w:r>
            <w:r w:rsidRPr="00296395">
              <w:rPr>
                <w:rFonts w:ascii="Times New Roman" w:eastAsia="Times New Roman" w:hAnsi="Times New Roman" w:cs="Times New Roman"/>
                <w:sz w:val="24"/>
                <w:szCs w:val="24"/>
                <w:lang w:eastAsia="ru-RU"/>
              </w:rPr>
              <w:lastRenderedPageBreak/>
              <w:t>медицинской помощи, в общем количестве пациентов, нуждающихся в обезболивании при оказании паллиативной медицинской помощи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100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28.</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22,5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23,0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29.</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30.</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xml:space="preserve">Количество обоснованных жалоб, в том числе на отказ в оказании медицинской помощи, </w:t>
            </w:r>
            <w:r w:rsidRPr="00296395">
              <w:rPr>
                <w:rFonts w:ascii="Times New Roman" w:eastAsia="Times New Roman" w:hAnsi="Times New Roman" w:cs="Times New Roman"/>
                <w:color w:val="000000"/>
                <w:sz w:val="24"/>
                <w:szCs w:val="24"/>
                <w:lang w:eastAsia="ru-RU"/>
              </w:rPr>
              <w:lastRenderedPageBreak/>
              <w:t>предоставляемой в рамках территориальной программы</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единиц</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63</w:t>
            </w:r>
          </w:p>
        </w:tc>
      </w:tr>
      <w:tr w:rsidR="00296395" w:rsidRPr="00296395" w:rsidTr="00296395">
        <w:tc>
          <w:tcPr>
            <w:tcW w:w="9045" w:type="dxa"/>
            <w:gridSpan w:val="6"/>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Критериями доступности медицинской помощи являются:</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Обеспеченность населения врачами,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населения, включая 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39,6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41,2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43,1</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31.1.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38,2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39,7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39,7</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31.2.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7,0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7,4</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амбулаторных условиях,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населения, включая 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20,4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20,9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21,3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32.1.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23,5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24,0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24,2</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32.2.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6,1</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33.</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Обеспеченность населения врачами, оказывающими медицинскую помощь в стационарных условиях,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населения, включая 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18,9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19,3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19,5</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33.1.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24,4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24,8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24,8</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33.2.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1,25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1,4</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34.</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Обеспеченность населения средним медицинским персоналом,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населения, включая 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88,1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89,6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91,5</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34.1.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103,8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105,5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105,8</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34.2.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38,2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39,0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39,6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35.</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Обеспеченность населения средним медицинским персоналом, оказывающим медицинскую помощь в амбулаторных условиях,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населения, включая 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39,5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39,9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40,3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35.1.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42,4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42,7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43,0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35.2.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30,1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30,7</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30,9</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xml:space="preserve">Обеспеченность населения средним медицинским персоналом, оказывающим </w:t>
            </w:r>
            <w:r w:rsidRPr="00296395">
              <w:rPr>
                <w:rFonts w:ascii="Times New Roman" w:eastAsia="Times New Roman" w:hAnsi="Times New Roman" w:cs="Times New Roman"/>
                <w:sz w:val="24"/>
                <w:szCs w:val="24"/>
                <w:lang w:eastAsia="ru-RU"/>
              </w:rPr>
              <w:lastRenderedPageBreak/>
              <w:t>медицинскую помощь в стационарных условиях,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 xml:space="preserve">на 10 тыс. человек населения, включая </w:t>
            </w:r>
            <w:r w:rsidRPr="00296395">
              <w:rPr>
                <w:rFonts w:ascii="Times New Roman" w:eastAsia="Times New Roman" w:hAnsi="Times New Roman" w:cs="Times New Roman"/>
                <w:sz w:val="24"/>
                <w:szCs w:val="24"/>
                <w:lang w:eastAsia="ru-RU"/>
              </w:rPr>
              <w:lastRenderedPageBreak/>
              <w:t>городское и сельское население</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48,8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50,1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50,4</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36.1.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городского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на 10 тыс. человек городского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61,4</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62,8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62,9</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сельского населения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 тыс.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37.</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8,2</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38.</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39.</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2,66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2,68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2,70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40.</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34,8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37,1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48,4</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41.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охвата профилактическими медицинскими осмотрами взрослого населения, подлежащего профилактическим медицинским осмотрам, в том числе городских и сельских жителей</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8,3</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11,6</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41.1.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городских жителей</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79,9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80,1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80,3</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41.2.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сельских жителей</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20,1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19,9</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19,7</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Число пациентов, получивших паллиативную медицинскую помощь по месту жительства, в том числе на дому</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абсолют</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5200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5300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43.</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абсолют</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311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326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340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44.</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xml:space="preserve">Доля охвата профилактическими медицинскими осмотрами детей, подлежащих </w:t>
            </w:r>
            <w:r w:rsidRPr="00296395">
              <w:rPr>
                <w:rFonts w:ascii="Times New Roman" w:eastAsia="Times New Roman" w:hAnsi="Times New Roman" w:cs="Times New Roman"/>
                <w:sz w:val="24"/>
                <w:szCs w:val="24"/>
                <w:lang w:eastAsia="ru-RU"/>
              </w:rPr>
              <w:lastRenderedPageBreak/>
              <w:t>профилактическим медицинским осмотрам,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92,0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92,0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92,0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44.1.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городских жителей</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94,0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94,0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94,0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44.2.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сельских жителей</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86,0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86,0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45.</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8,1</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8,1</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46.</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на 1000 человек сельского населения</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237,0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239,2</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240,0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47.</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xml:space="preserve">Доля фельдшерских/фельдшерско-акушерских пунктов и фельдшерских пунктов, находящихся в аварийном </w:t>
            </w:r>
            <w:r w:rsidRPr="00296395">
              <w:rPr>
                <w:rFonts w:ascii="Times New Roman" w:eastAsia="Times New Roman" w:hAnsi="Times New Roman" w:cs="Times New Roman"/>
                <w:color w:val="000000"/>
                <w:sz w:val="24"/>
                <w:szCs w:val="24"/>
                <w:lang w:eastAsia="ru-RU"/>
              </w:rPr>
              <w:lastRenderedPageBreak/>
              <w:t>состоянии и требующих капитального ремонта, в общем количестве фельдшерских/фельдшерско-акушерских пунктов</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lastRenderedPageBreak/>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0,6</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48.</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помощи медицинской помощи взрослому населению</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37,5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45,0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55,0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49.</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Доля женщин, которым проведено экстракорпоральное оплодотворение в общем количестве женщин с бесплодием</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процентов</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17,8</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18,0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18,0</w:t>
            </w:r>
          </w:p>
        </w:tc>
      </w:tr>
      <w:tr w:rsidR="00296395" w:rsidRPr="00296395" w:rsidTr="00296395">
        <w:tc>
          <w:tcPr>
            <w:tcW w:w="9045" w:type="dxa"/>
            <w:gridSpan w:val="6"/>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Эффективность деятельности медицинских организаций проводится на основе:</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50.</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оценки выполнения функции врачебной должности,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количество посещений на 1 занятую должность врача, ведущего прием</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4800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4800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4800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50.1.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в городской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50.2.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в сельской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4600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4600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4600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lastRenderedPageBreak/>
              <w:t>51.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оценки показателей рационального и целевого использования коечного фонда, в том числе:</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средняя занятость койки в году (количество дней)</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310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310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310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51.1.</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в городской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320</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color w:val="000000"/>
                <w:sz w:val="24"/>
                <w:szCs w:val="24"/>
                <w:lang w:eastAsia="ru-RU"/>
              </w:rPr>
            </w:pPr>
            <w:r w:rsidRPr="00296395">
              <w:rPr>
                <w:rFonts w:ascii="Times New Roman" w:eastAsia="Times New Roman" w:hAnsi="Times New Roman" w:cs="Times New Roman"/>
                <w:color w:val="000000"/>
                <w:sz w:val="24"/>
                <w:szCs w:val="24"/>
                <w:lang w:eastAsia="ru-RU"/>
              </w:rPr>
              <w:t>320</w:t>
            </w:r>
          </w:p>
        </w:tc>
      </w:tr>
      <w:tr w:rsidR="00296395" w:rsidRPr="00296395" w:rsidTr="00296395">
        <w:tc>
          <w:tcPr>
            <w:tcW w:w="63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51.2.</w:t>
            </w:r>
          </w:p>
        </w:tc>
        <w:tc>
          <w:tcPr>
            <w:tcW w:w="334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в сельской местности</w:t>
            </w:r>
          </w:p>
        </w:tc>
        <w:tc>
          <w:tcPr>
            <w:tcW w:w="26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 </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285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285</w:t>
            </w:r>
          </w:p>
        </w:tc>
        <w:tc>
          <w:tcPr>
            <w:tcW w:w="8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296395" w:rsidRPr="00296395" w:rsidRDefault="00296395" w:rsidP="00296395">
            <w:pPr>
              <w:spacing w:before="150" w:after="150" w:line="408" w:lineRule="atLeast"/>
              <w:jc w:val="center"/>
              <w:rPr>
                <w:rFonts w:ascii="Times New Roman" w:eastAsia="Times New Roman" w:hAnsi="Times New Roman" w:cs="Times New Roman"/>
                <w:sz w:val="24"/>
                <w:szCs w:val="24"/>
                <w:lang w:eastAsia="ru-RU"/>
              </w:rPr>
            </w:pPr>
            <w:r w:rsidRPr="00296395">
              <w:rPr>
                <w:rFonts w:ascii="Times New Roman" w:eastAsia="Times New Roman" w:hAnsi="Times New Roman" w:cs="Times New Roman"/>
                <w:sz w:val="24"/>
                <w:szCs w:val="24"/>
                <w:lang w:eastAsia="ru-RU"/>
              </w:rPr>
              <w:t>285</w:t>
            </w:r>
          </w:p>
        </w:tc>
      </w:tr>
    </w:tbl>
    <w:p w:rsidR="008E60AB" w:rsidRDefault="008E60AB">
      <w:bookmarkStart w:id="0" w:name="_GoBack"/>
      <w:bookmarkEnd w:id="0"/>
    </w:p>
    <w:sectPr w:rsidR="008E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D7F"/>
    <w:multiLevelType w:val="multilevel"/>
    <w:tmpl w:val="69A8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95"/>
    <w:rsid w:val="00296395"/>
    <w:rsid w:val="008E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ADD7-2EAA-46F2-B421-9AA7FE11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6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39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6395"/>
  </w:style>
  <w:style w:type="paragraph" w:customStyle="1" w:styleId="consplusnormal">
    <w:name w:val="consplusnormal"/>
    <w:basedOn w:val="a"/>
    <w:rsid w:val="00296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96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6395"/>
    <w:rPr>
      <w:color w:val="0000FF"/>
      <w:u w:val="single"/>
    </w:rPr>
  </w:style>
  <w:style w:type="character" w:styleId="a4">
    <w:name w:val="FollowedHyperlink"/>
    <w:basedOn w:val="a0"/>
    <w:uiPriority w:val="99"/>
    <w:semiHidden/>
    <w:unhideWhenUsed/>
    <w:rsid w:val="002963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3495">
      <w:bodyDiv w:val="1"/>
      <w:marLeft w:val="0"/>
      <w:marRight w:val="0"/>
      <w:marTop w:val="0"/>
      <w:marBottom w:val="0"/>
      <w:divBdr>
        <w:top w:val="none" w:sz="0" w:space="0" w:color="auto"/>
        <w:left w:val="none" w:sz="0" w:space="0" w:color="auto"/>
        <w:bottom w:val="none" w:sz="0" w:space="0" w:color="auto"/>
        <w:right w:val="none" w:sz="0" w:space="0" w:color="auto"/>
      </w:divBdr>
      <w:divsChild>
        <w:div w:id="1200699382">
          <w:marLeft w:val="0"/>
          <w:marRight w:val="0"/>
          <w:marTop w:val="0"/>
          <w:marBottom w:val="0"/>
          <w:divBdr>
            <w:top w:val="none" w:sz="0" w:space="0" w:color="auto"/>
            <w:left w:val="none" w:sz="0" w:space="0" w:color="auto"/>
            <w:bottom w:val="none" w:sz="0" w:space="0" w:color="auto"/>
            <w:right w:val="none" w:sz="0" w:space="0" w:color="auto"/>
          </w:divBdr>
          <w:divsChild>
            <w:div w:id="2032026804">
              <w:marLeft w:val="0"/>
              <w:marRight w:val="0"/>
              <w:marTop w:val="0"/>
              <w:marBottom w:val="0"/>
              <w:divBdr>
                <w:top w:val="none" w:sz="0" w:space="0" w:color="auto"/>
                <w:left w:val="none" w:sz="0" w:space="0" w:color="auto"/>
                <w:bottom w:val="none" w:sz="0" w:space="0" w:color="auto"/>
                <w:right w:val="none" w:sz="0" w:space="0" w:color="auto"/>
              </w:divBdr>
              <w:divsChild>
                <w:div w:id="1896770409">
                  <w:marLeft w:val="0"/>
                  <w:marRight w:val="0"/>
                  <w:marTop w:val="0"/>
                  <w:marBottom w:val="0"/>
                  <w:divBdr>
                    <w:top w:val="none" w:sz="0" w:space="0" w:color="auto"/>
                    <w:left w:val="none" w:sz="0" w:space="0" w:color="auto"/>
                    <w:bottom w:val="none" w:sz="0" w:space="0" w:color="auto"/>
                    <w:right w:val="none" w:sz="0" w:space="0" w:color="auto"/>
                  </w:divBdr>
                </w:div>
                <w:div w:id="19683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l1aks.64.xn--b1aew.xn--p1ai/document/15873480" TargetMode="External"/><Relationship Id="rId13" Type="http://schemas.openxmlformats.org/officeDocument/2006/relationships/hyperlink" Target="https://xn--l1aks.64.xn--b1aew.xn--p1ai/document/15873480" TargetMode="External"/><Relationship Id="rId18" Type="http://schemas.openxmlformats.org/officeDocument/2006/relationships/hyperlink" Target="https://xn--l1aks.64.xn--b1aew.xn--p1ai/document/15873480" TargetMode="External"/><Relationship Id="rId26" Type="http://schemas.openxmlformats.org/officeDocument/2006/relationships/hyperlink" Target="https://xn--l1aks.64.xn--b1aew.xn--p1ai/document/15873480" TargetMode="External"/><Relationship Id="rId3" Type="http://schemas.openxmlformats.org/officeDocument/2006/relationships/settings" Target="settings.xml"/><Relationship Id="rId21" Type="http://schemas.openxmlformats.org/officeDocument/2006/relationships/hyperlink" Target="https://xn--l1aks.64.xn--b1aew.xn--p1ai/document/15873480" TargetMode="External"/><Relationship Id="rId7" Type="http://schemas.openxmlformats.org/officeDocument/2006/relationships/hyperlink" Target="https://xn--l1aks.64.xn--b1aew.xn--p1ai/document/15873480" TargetMode="External"/><Relationship Id="rId12" Type="http://schemas.openxmlformats.org/officeDocument/2006/relationships/hyperlink" Target="https://xn--l1aks.64.xn--b1aew.xn--p1ai/document/15873480" TargetMode="External"/><Relationship Id="rId17" Type="http://schemas.openxmlformats.org/officeDocument/2006/relationships/hyperlink" Target="https://xn--l1aks.64.xn--b1aew.xn--p1ai/document/15873480" TargetMode="External"/><Relationship Id="rId25" Type="http://schemas.openxmlformats.org/officeDocument/2006/relationships/hyperlink" Target="https://xn--l1aks.64.xn--b1aew.xn--p1ai/document/15873480" TargetMode="External"/><Relationship Id="rId2" Type="http://schemas.openxmlformats.org/officeDocument/2006/relationships/styles" Target="styles.xml"/><Relationship Id="rId16" Type="http://schemas.openxmlformats.org/officeDocument/2006/relationships/hyperlink" Target="https://xn--l1aks.64.xn--b1aew.xn--p1ai/document/15873480" TargetMode="External"/><Relationship Id="rId20" Type="http://schemas.openxmlformats.org/officeDocument/2006/relationships/hyperlink" Target="https://xn--l1aks.64.xn--b1aew.xn--p1ai/document/158734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n--l1aks.64.xn--b1aew.xn--p1ai/document/15873480" TargetMode="External"/><Relationship Id="rId11" Type="http://schemas.openxmlformats.org/officeDocument/2006/relationships/hyperlink" Target="https://xn--l1aks.64.xn--b1aew.xn--p1ai/document/15873480" TargetMode="External"/><Relationship Id="rId24" Type="http://schemas.openxmlformats.org/officeDocument/2006/relationships/hyperlink" Target="https://xn--l1aks.64.xn--b1aew.xn--p1ai/document/15873480" TargetMode="External"/><Relationship Id="rId5" Type="http://schemas.openxmlformats.org/officeDocument/2006/relationships/hyperlink" Target="https://xn--l1aks.64.xn--b1aew.xn--p1ai/document/15873480" TargetMode="External"/><Relationship Id="rId15" Type="http://schemas.openxmlformats.org/officeDocument/2006/relationships/hyperlink" Target="https://xn--l1aks.64.xn--b1aew.xn--p1ai/document/15873480" TargetMode="External"/><Relationship Id="rId23" Type="http://schemas.openxmlformats.org/officeDocument/2006/relationships/hyperlink" Target="https://xn--l1aks.64.xn--b1aew.xn--p1ai/document/15873480" TargetMode="External"/><Relationship Id="rId28" Type="http://schemas.openxmlformats.org/officeDocument/2006/relationships/fontTable" Target="fontTable.xml"/><Relationship Id="rId10" Type="http://schemas.openxmlformats.org/officeDocument/2006/relationships/hyperlink" Target="https://xn--l1aks.64.xn--b1aew.xn--p1ai/document/15873480" TargetMode="External"/><Relationship Id="rId19" Type="http://schemas.openxmlformats.org/officeDocument/2006/relationships/hyperlink" Target="https://xn--l1aks.64.xn--b1aew.xn--p1ai/document/15873480" TargetMode="External"/><Relationship Id="rId4" Type="http://schemas.openxmlformats.org/officeDocument/2006/relationships/webSettings" Target="webSettings.xml"/><Relationship Id="rId9" Type="http://schemas.openxmlformats.org/officeDocument/2006/relationships/hyperlink" Target="https://xn--l1aks.64.xn--b1aew.xn--p1ai/document/15873480" TargetMode="External"/><Relationship Id="rId14" Type="http://schemas.openxmlformats.org/officeDocument/2006/relationships/hyperlink" Target="https://xn--l1aks.64.xn--b1aew.xn--p1ai/document/15873480" TargetMode="External"/><Relationship Id="rId22" Type="http://schemas.openxmlformats.org/officeDocument/2006/relationships/hyperlink" Target="https://xn--l1aks.64.xn--b1aew.xn--p1ai/document/15873480" TargetMode="External"/><Relationship Id="rId27" Type="http://schemas.openxmlformats.org/officeDocument/2006/relationships/hyperlink" Target="https://xn--l1aks.64.xn--b1aew.xn--p1ai/document/1587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14378</Words>
  <Characters>81960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2020-06-08T09:25:00Z</dcterms:created>
  <dcterms:modified xsi:type="dcterms:W3CDTF">2020-06-08T09:26:00Z</dcterms:modified>
</cp:coreProperties>
</file>